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Garamond" w:hAnsi="Garamond"/>
        </w:rPr>
      </w:pPr>
      <w:r>
        <w:rPr>
          <w:rFonts w:ascii="Times New Roman" w:hAnsi="Times New Roman"/>
          <w:b/>
          <w:bCs/>
          <w:sz w:val="32"/>
          <w:szCs w:val="32"/>
          <w:lang w:val="it-IT"/>
        </w:rPr>
        <w:t>Ayatollah e Grand Ayatollah: analisi di una gerarchia religiosa tra studio, autorità e legittimazione nello sciismo contemporaneo</w:t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Times New Roman" w:hAnsi="Times New Roman"/>
          <w:sz w:val="28"/>
          <w:szCs w:val="28"/>
          <w:lang w:val="it-IT"/>
        </w:rPr>
        <w:t>Alla luce degli avvenimenti tutt’ora in corso che stanno contribuendo a destabilizzare una regione già di per sé notevolmente complessa, penso sia utile dedicare alcuni articoli per aprite uno spiraglio su di un sistema di governo unico al mondo. Servirà a meglio comprendere cosa sia l’odierna Repubblica Islamica iraniana e fino a che punto una serie di eventi siano in grado di sconfiggere un’idea.</w:t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Times New Roman" w:hAnsi="Times New Roman"/>
          <w:sz w:val="28"/>
          <w:szCs w:val="28"/>
          <w:lang w:val="it-IT"/>
        </w:rPr>
        <w:t>Ayatollah e Grand Ayatollah sono qualifiche particolari di quel ramo di Islam chiamato sciita nato in opposizione all’ortodossia sunnita. Gli sciiti respingono i tre primi Califfi, riconoscendo invece Alì, genero di Maometto in quanto sposato con sua figlia Fatima ed i suoi discendenti, come soli e legittimi successori del Profeta.</w:t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L’origine di questa setta risale all’uccisione di Alì e all’usurpazione dei Califfi Ommayadi che nel 659 esclusero dalla successione i discendenti suoi e di sua moglie Fatima. Suo figlio </w:t>
      </w:r>
      <w:r>
        <w:rPr>
          <w:rFonts w:ascii="Times New Roman" w:hAnsi="Times New Roman"/>
          <w:sz w:val="28"/>
          <w:szCs w:val="28"/>
          <w:lang w:val="it-IT"/>
        </w:rPr>
        <w:t>al-</w:t>
      </w:r>
      <w:r>
        <w:rPr>
          <w:rFonts w:ascii="Times New Roman" w:hAnsi="Times New Roman"/>
          <w:sz w:val="28"/>
          <w:szCs w:val="28"/>
          <w:lang w:val="it-IT"/>
        </w:rPr>
        <w:t>Hus</w:t>
      </w:r>
      <w:r>
        <w:rPr>
          <w:rFonts w:ascii="Times New Roman" w:hAnsi="Times New Roman"/>
          <w:sz w:val="28"/>
          <w:szCs w:val="28"/>
          <w:lang w:val="it-IT"/>
        </w:rPr>
        <w:t>ay</w:t>
      </w:r>
      <w:r>
        <w:rPr>
          <w:rFonts w:ascii="Times New Roman" w:hAnsi="Times New Roman"/>
          <w:sz w:val="28"/>
          <w:szCs w:val="28"/>
          <w:lang w:val="it-IT"/>
        </w:rPr>
        <w:t xml:space="preserve">n insorse contro gli Ommayadi per dirigersi verso Kufa, nella quale i suoi sostenitori intendevano proclamarlo Califfo. Raggiunto a Kerbala dalle truppe di Yazid, egli non accettò di arrendersi e morì trafitto da una pioggia di frecce. </w:t>
      </w:r>
      <w:r>
        <w:rPr>
          <w:rFonts w:ascii="Times New Roman" w:hAnsi="Times New Roman"/>
          <w:sz w:val="28"/>
          <w:szCs w:val="28"/>
          <w:lang w:val="it-IT"/>
        </w:rPr>
        <w:t>Al-</w:t>
      </w:r>
      <w:r>
        <w:rPr>
          <w:rFonts w:ascii="Times New Roman" w:hAnsi="Times New Roman"/>
          <w:sz w:val="28"/>
          <w:szCs w:val="28"/>
          <w:lang w:val="it-IT"/>
        </w:rPr>
        <w:t>Hus</w:t>
      </w:r>
      <w:r>
        <w:rPr>
          <w:rFonts w:ascii="Times New Roman" w:hAnsi="Times New Roman"/>
          <w:sz w:val="28"/>
          <w:szCs w:val="28"/>
          <w:lang w:val="it-IT"/>
        </w:rPr>
        <w:t>ay</w:t>
      </w:r>
      <w:r>
        <w:rPr>
          <w:rFonts w:ascii="Times New Roman" w:hAnsi="Times New Roman"/>
          <w:sz w:val="28"/>
          <w:szCs w:val="28"/>
          <w:lang w:val="it-IT"/>
        </w:rPr>
        <w:t>n è oggi commemorato e venerato come un martire e considerato il solo Califfo legittimo a seguito della morte di suo fratello Hassan, avvenuta alcuni anni prima.</w:t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Times New Roman" w:hAnsi="Times New Roman"/>
          <w:sz w:val="28"/>
          <w:szCs w:val="28"/>
          <w:lang w:val="it-IT"/>
        </w:rPr>
        <w:t>Oggi il gruppo sciita più diffuso è quello imamita, prevalente in Iran. A seguito della scomparsa di Alì questo ramo accetta altri 12 Imam, di cui l’ultimo sarebbe morto bambino, ma che vivrebbe tutt’ora nascosto per ricomparire alla fine dei tempi e ristabilire il Regno della Giustizia.</w:t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Nel lessico politico e religioso contemporaneo, pochi termini sono stati caricati di un peso simbolico quanto quello di </w:t>
      </w:r>
      <w:r>
        <w:rPr>
          <w:rFonts w:ascii="Times New Roman" w:hAnsi="Times New Roman"/>
          <w:i/>
          <w:iCs/>
          <w:sz w:val="28"/>
          <w:szCs w:val="28"/>
          <w:lang w:val="it-IT"/>
        </w:rPr>
        <w:t>ayatollah</w:t>
      </w:r>
      <w:r>
        <w:rPr>
          <w:rFonts w:ascii="Times New Roman" w:hAnsi="Times New Roman"/>
          <w:sz w:val="28"/>
          <w:szCs w:val="28"/>
          <w:lang w:val="it-IT"/>
        </w:rPr>
        <w:t xml:space="preserve">. E ancora meno sono stati compresi nella loro reale struttura interna. Nel dibattito pubblico globale — spesso semplificato, talvolta distorto — “ayatollah” è diventato sinonimo di guida religiosa suprema, di potere teocratico, di autorità assoluta. Ma dietro questa parola si nasconde un sistema di formazione lungo, rigoroso e altamente selettivo, che culmina in una distinzione ulteriore e decisiva: quella tra </w:t>
      </w:r>
      <w:r>
        <w:rPr>
          <w:rFonts w:ascii="Times New Roman" w:hAnsi="Times New Roman"/>
          <w:b w:val="false"/>
          <w:bCs w:val="false"/>
          <w:sz w:val="28"/>
          <w:szCs w:val="28"/>
          <w:lang w:val="it-IT"/>
        </w:rPr>
        <w:t>ayatollah e grand ayatollah</w:t>
      </w:r>
      <w:r>
        <w:rPr>
          <w:rFonts w:ascii="Times New Roman" w:hAnsi="Times New Roman"/>
          <w:sz w:val="28"/>
          <w:szCs w:val="28"/>
          <w:lang w:val="it-IT"/>
        </w:rPr>
        <w:t xml:space="preserve">, o </w:t>
      </w:r>
      <w:r>
        <w:rPr>
          <w:rFonts w:ascii="Times New Roman" w:hAnsi="Times New Roman"/>
          <w:i/>
          <w:iCs/>
          <w:sz w:val="28"/>
          <w:szCs w:val="28"/>
          <w:lang w:val="it-IT"/>
        </w:rPr>
        <w:t>ayatollah al-uzma</w:t>
      </w:r>
      <w:r>
        <w:rPr>
          <w:rFonts w:ascii="Times New Roman" w:hAnsi="Times New Roman"/>
          <w:sz w:val="28"/>
          <w:szCs w:val="28"/>
          <w:lang w:val="it-IT"/>
        </w:rPr>
        <w:t>, il “grande segno di Dio”.</w:t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Comprendere questa differenza significa entrare nel cuore della formazione clericale sciita, nelle sue scuole — le </w:t>
      </w:r>
      <w:r>
        <w:rPr>
          <w:rFonts w:ascii="Times New Roman" w:hAnsi="Times New Roman"/>
          <w:b w:val="false"/>
          <w:bCs w:val="false"/>
          <w:sz w:val="28"/>
          <w:szCs w:val="28"/>
          <w:lang w:val="it-IT"/>
        </w:rPr>
        <w:t>hawza</w:t>
      </w:r>
      <w:r>
        <w:rPr>
          <w:rFonts w:ascii="Times New Roman" w:hAnsi="Times New Roman"/>
          <w:sz w:val="28"/>
          <w:szCs w:val="28"/>
          <w:lang w:val="it-IT"/>
        </w:rPr>
        <w:t xml:space="preserve"> — e nel percorso accademico e spirituale che trasforma uno studioso in giurista, e poi eventualmente in riferimento religioso per milioni di fedeli.</w:t>
      </w:r>
    </w:p>
    <w:p>
      <w:pPr>
        <w:pStyle w:val="Normal"/>
        <w:bidi w:val="0"/>
        <w:jc w:val="both"/>
        <w:rPr>
          <w:rFonts w:ascii="Garamond" w:hAnsi="Garamond"/>
          <w:b/>
          <w:b/>
          <w:bCs/>
        </w:rPr>
      </w:pPr>
      <w:r>
        <w:rPr>
          <w:rFonts w:ascii="Garamond" w:hAnsi="Garamond"/>
          <w:b/>
          <w:bCs/>
        </w:rPr>
      </w:r>
    </w:p>
    <w:p>
      <w:pPr>
        <w:pStyle w:val="Normal"/>
        <w:bidi w:val="0"/>
        <w:jc w:val="both"/>
        <w:rPr>
          <w:rFonts w:ascii="Garamond" w:hAnsi="Garamond"/>
          <w:b/>
          <w:b/>
          <w:bCs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it-IT"/>
        </w:rPr>
        <w:t xml:space="preserve">Il punto di partenza del percorso comincia nelle scuole religiose sciite, le hawza ‘ilmiyya, presenti soprattutto a Qom in Iran e a Najaf in Iraq. Qui lo studente — spesso ancora adolescente — intraprende un cammino che può durare anche due o tre decenni, quindi un lungo cammino del sapere. </w:t>
      </w:r>
      <w:r>
        <w:rPr>
          <w:rFonts w:ascii="Times New Roman" w:hAnsi="Times New Roman"/>
          <w:sz w:val="28"/>
          <w:szCs w:val="28"/>
          <w:lang w:val="it-IT"/>
        </w:rPr>
        <w:t>Non si tratta di un semplice studio teologico. Il curriculum comprende: giurisprudenza islamica (</w:t>
      </w:r>
      <w:r>
        <w:rPr>
          <w:rFonts w:ascii="Times New Roman" w:hAnsi="Times New Roman"/>
          <w:i/>
          <w:iCs/>
          <w:sz w:val="28"/>
          <w:szCs w:val="28"/>
          <w:lang w:val="it-IT"/>
        </w:rPr>
        <w:t>fiqh</w:t>
      </w:r>
      <w:r>
        <w:rPr>
          <w:rFonts w:ascii="Times New Roman" w:hAnsi="Times New Roman"/>
          <w:sz w:val="28"/>
          <w:szCs w:val="28"/>
          <w:lang w:val="it-IT"/>
        </w:rPr>
        <w:t>); principi della giurisprudenza (</w:t>
      </w:r>
      <w:r>
        <w:rPr>
          <w:rFonts w:ascii="Times New Roman" w:hAnsi="Times New Roman"/>
          <w:i/>
          <w:iCs/>
          <w:sz w:val="28"/>
          <w:szCs w:val="28"/>
          <w:lang w:val="it-IT"/>
        </w:rPr>
        <w:t>usul al-fiqh</w:t>
      </w:r>
      <w:r>
        <w:rPr>
          <w:rFonts w:ascii="Times New Roman" w:hAnsi="Times New Roman"/>
          <w:sz w:val="28"/>
          <w:szCs w:val="28"/>
          <w:lang w:val="it-IT"/>
        </w:rPr>
        <w:t>); logica; filosofia islamica; esegesi coranica; diritto applicato e metodologia del ragionamento religioso.</w:t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Il punto di arrivo di questo percorso è il riconoscimento del titolo di </w:t>
      </w:r>
      <w:r>
        <w:rPr>
          <w:rFonts w:ascii="Times New Roman" w:hAnsi="Times New Roman"/>
          <w:b w:val="false"/>
          <w:bCs w:val="false"/>
          <w:i/>
          <w:iCs/>
          <w:sz w:val="28"/>
          <w:szCs w:val="28"/>
          <w:lang w:val="it-IT"/>
        </w:rPr>
        <w:t>mujtahid</w:t>
      </w:r>
      <w:r>
        <w:rPr>
          <w:rFonts w:ascii="Times New Roman" w:hAnsi="Times New Roman"/>
          <w:b w:val="false"/>
          <w:bCs w:val="false"/>
          <w:sz w:val="28"/>
          <w:szCs w:val="28"/>
          <w:lang w:val="it-IT"/>
        </w:rPr>
        <w:t>,</w:t>
      </w:r>
      <w:r>
        <w:rPr>
          <w:rFonts w:ascii="Times New Roman" w:hAnsi="Times New Roman"/>
          <w:sz w:val="28"/>
          <w:szCs w:val="28"/>
          <w:lang w:val="it-IT"/>
        </w:rPr>
        <w:t xml:space="preserve"> ovvero colui che ha raggiunto la capacità di interpretare autonomamente le fonti religiose e derivarne norme giuridiche. Ma essere </w:t>
      </w:r>
      <w:r>
        <w:rPr>
          <w:rFonts w:ascii="Times New Roman" w:hAnsi="Times New Roman"/>
          <w:i/>
          <w:iCs/>
          <w:sz w:val="28"/>
          <w:szCs w:val="28"/>
          <w:lang w:val="it-IT"/>
        </w:rPr>
        <w:t>mujtahid</w:t>
      </w:r>
      <w:r>
        <w:rPr>
          <w:rFonts w:ascii="Times New Roman" w:hAnsi="Times New Roman"/>
          <w:sz w:val="28"/>
          <w:szCs w:val="28"/>
          <w:lang w:val="it-IT"/>
        </w:rPr>
        <w:t xml:space="preserve"> non significa ancora essere ayatollah. Manca infatti ancora il riconoscimento della competenza.</w:t>
      </w:r>
    </w:p>
    <w:p>
      <w:pPr>
        <w:pStyle w:val="Normal"/>
        <w:bidi w:val="0"/>
        <w:jc w:val="both"/>
        <w:rPr>
          <w:rFonts w:ascii="Garamond" w:hAnsi="Garamond"/>
          <w:b/>
          <w:b/>
          <w:bCs/>
        </w:rPr>
      </w:pPr>
      <w:r>
        <w:rPr>
          <w:rFonts w:ascii="Garamond" w:hAnsi="Garamond"/>
          <w:b/>
          <w:bCs/>
        </w:rPr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Il titolo di </w:t>
      </w:r>
      <w:r>
        <w:rPr>
          <w:rFonts w:ascii="Times New Roman" w:hAnsi="Times New Roman"/>
          <w:b w:val="false"/>
          <w:bCs w:val="false"/>
          <w:sz w:val="28"/>
          <w:szCs w:val="28"/>
          <w:lang w:val="it-IT"/>
        </w:rPr>
        <w:t>ayatollah</w:t>
      </w:r>
      <w:r>
        <w:rPr>
          <w:rFonts w:ascii="Times New Roman" w:hAnsi="Times New Roman"/>
          <w:sz w:val="28"/>
          <w:szCs w:val="28"/>
          <w:lang w:val="it-IT"/>
        </w:rPr>
        <w:t xml:space="preserve"> non è un diploma formale standardizzato, ma un riconoscimento progressivo. In passato era riservato a pochi studiosi di altissimo livello; oggi, soprattutto dopo la rivoluzione iraniana del 1979, il suo uso si è ampliato.</w:t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Times New Roman" w:hAnsi="Times New Roman"/>
          <w:sz w:val="28"/>
          <w:szCs w:val="28"/>
          <w:lang w:val="it-IT"/>
        </w:rPr>
        <w:t>Come emerge dalle fonti classiche e contemporanee, un ayatollah è un giurista religioso che ha completato gli studi avanzati nella hawza, ottenuto il riconoscimento dei propri maestri e pari ed è considerato capace di emettere interpretazioni giuridiche indipendenti. Egli spesso insegna a sua volta ad altri studenti avanzati.</w:t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Times New Roman" w:hAnsi="Times New Roman"/>
          <w:sz w:val="28"/>
          <w:szCs w:val="28"/>
          <w:lang w:val="it-IT"/>
        </w:rPr>
        <w:t>In altre parole, l’ayatollah è già una figura di autorità intellettuale e religiosa, ma non necessariamente una guida seguita dalla comunità nel senso più ampio del termine.</w:t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Times New Roman" w:hAnsi="Times New Roman"/>
          <w:sz w:val="28"/>
          <w:szCs w:val="28"/>
          <w:lang w:val="it-IT"/>
        </w:rPr>
        <w:t>Può essere paragonato a un grande professore o giurista: autorevole, rispettato, ma non automaticamente “seguito” dai fedeli.</w:t>
      </w:r>
    </w:p>
    <w:p>
      <w:pPr>
        <w:pStyle w:val="Normal"/>
        <w:bidi w:val="0"/>
        <w:jc w:val="both"/>
        <w:rPr>
          <w:rFonts w:ascii="Garamond" w:hAnsi="Garamond"/>
          <w:b/>
          <w:b/>
          <w:bCs/>
        </w:rPr>
      </w:pPr>
      <w:r>
        <w:rPr>
          <w:rFonts w:ascii="Garamond" w:hAnsi="Garamond"/>
          <w:b/>
          <w:bCs/>
        </w:rPr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Il passaggio successivo a Grand Ayatollah non è una promozione formale, ma un salto di natura diversa: insieme teologico, sociale e politico. Solo alcuni ayatollah diventano </w:t>
      </w:r>
      <w:r>
        <w:rPr>
          <w:rFonts w:ascii="Times New Roman" w:hAnsi="Times New Roman"/>
          <w:b w:val="false"/>
          <w:bCs w:val="false"/>
          <w:sz w:val="28"/>
          <w:szCs w:val="28"/>
          <w:lang w:val="it-IT"/>
        </w:rPr>
        <w:t>grand ayatollah</w:t>
      </w:r>
      <w:r>
        <w:rPr>
          <w:rFonts w:ascii="Times New Roman" w:hAnsi="Times New Roman"/>
          <w:sz w:val="28"/>
          <w:szCs w:val="28"/>
          <w:lang w:val="it-IT"/>
        </w:rPr>
        <w:t xml:space="preserve"> (</w:t>
      </w:r>
      <w:r>
        <w:rPr>
          <w:rFonts w:ascii="Times New Roman" w:hAnsi="Times New Roman"/>
          <w:i/>
          <w:iCs/>
          <w:sz w:val="28"/>
          <w:szCs w:val="28"/>
          <w:lang w:val="it-IT"/>
        </w:rPr>
        <w:t>ayatollah al-uzma</w:t>
      </w:r>
      <w:r>
        <w:rPr>
          <w:rFonts w:ascii="Times New Roman" w:hAnsi="Times New Roman"/>
          <w:sz w:val="28"/>
          <w:szCs w:val="28"/>
          <w:lang w:val="it-IT"/>
        </w:rPr>
        <w:t xml:space="preserve">). Questo avviene quando si verifica una condizione fondamentale: il riconoscimento come </w:t>
      </w:r>
      <w:r>
        <w:rPr>
          <w:rFonts w:ascii="Times New Roman" w:hAnsi="Times New Roman"/>
          <w:b w:val="false"/>
          <w:bCs w:val="false"/>
          <w:sz w:val="28"/>
          <w:szCs w:val="28"/>
          <w:lang w:val="it-IT"/>
        </w:rPr>
        <w:t>marja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it-IT"/>
        </w:rPr>
        <w:t>ʿ</w:t>
      </w:r>
      <w:r>
        <w:rPr>
          <w:rFonts w:ascii="Times New Roman" w:hAnsi="Times New Roman"/>
          <w:b w:val="false"/>
          <w:bCs w:val="false"/>
          <w:sz w:val="28"/>
          <w:szCs w:val="28"/>
          <w:lang w:val="it-IT"/>
        </w:rPr>
        <w:t xml:space="preserve"> al-taqlid</w:t>
      </w:r>
      <w:r>
        <w:rPr>
          <w:rFonts w:ascii="Times New Roman" w:hAnsi="Times New Roman"/>
          <w:sz w:val="28"/>
          <w:szCs w:val="28"/>
          <w:lang w:val="it-IT"/>
        </w:rPr>
        <w:t>, ovvero “fonte di emulazione”. Qui avviene il grande salto, la trasformazione decisiva.</w:t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Un </w:t>
      </w:r>
      <w:r>
        <w:rPr>
          <w:rFonts w:ascii="Times New Roman" w:hAnsi="Times New Roman"/>
          <w:b w:val="false"/>
          <w:bCs w:val="false"/>
          <w:sz w:val="28"/>
          <w:szCs w:val="28"/>
          <w:lang w:val="it-IT"/>
        </w:rPr>
        <w:t>grand ayatollah</w:t>
      </w:r>
      <w:r>
        <w:rPr>
          <w:rFonts w:ascii="Times New Roman" w:hAnsi="Times New Roman"/>
          <w:sz w:val="28"/>
          <w:szCs w:val="28"/>
          <w:lang w:val="it-IT"/>
        </w:rPr>
        <w:t xml:space="preserve"> è un religioso che ha raggiunto il massimo livello di </w:t>
      </w:r>
      <w:r>
        <w:rPr>
          <w:rFonts w:ascii="Times New Roman" w:hAnsi="Times New Roman"/>
          <w:i/>
          <w:iCs/>
          <w:sz w:val="28"/>
          <w:szCs w:val="28"/>
          <w:lang w:val="it-IT"/>
        </w:rPr>
        <w:t xml:space="preserve">ijtihad, </w:t>
      </w:r>
      <w:r>
        <w:rPr>
          <w:rFonts w:ascii="Times New Roman" w:hAnsi="Times New Roman"/>
          <w:sz w:val="28"/>
          <w:szCs w:val="28"/>
          <w:lang w:val="it-IT"/>
        </w:rPr>
        <w:t xml:space="preserve">interpretazione autonoma delle fonti; ha pubblicato una </w:t>
      </w:r>
      <w:r>
        <w:rPr>
          <w:rFonts w:ascii="Times New Roman" w:hAnsi="Times New Roman"/>
          <w:i/>
          <w:iCs/>
          <w:sz w:val="28"/>
          <w:szCs w:val="28"/>
          <w:lang w:val="it-IT"/>
        </w:rPr>
        <w:t>risala ‘amaliyya</w:t>
      </w:r>
      <w:r>
        <w:rPr>
          <w:rFonts w:ascii="Times New Roman" w:hAnsi="Times New Roman"/>
          <w:sz w:val="28"/>
          <w:szCs w:val="28"/>
          <w:lang w:val="it-IT"/>
        </w:rPr>
        <w:t xml:space="preserve">, un trattato di diritto pratico con le proprie sentenze religiose; è riconosciuto come guida da una comunità significativa di fedeli e diventa punto di riferimento per la pratica religiosa quotidiana. Non è dunque più soltanto uno studioso: diventa una </w:t>
      </w:r>
      <w:r>
        <w:rPr>
          <w:rFonts w:ascii="Times New Roman" w:hAnsi="Times New Roman"/>
          <w:b w:val="false"/>
          <w:bCs w:val="false"/>
          <w:sz w:val="28"/>
          <w:szCs w:val="28"/>
          <w:lang w:val="it-IT"/>
        </w:rPr>
        <w:t>autorità normativa vivente,</w:t>
      </w:r>
      <w:r>
        <w:rPr>
          <w:rFonts w:ascii="Times New Roman" w:hAnsi="Times New Roman"/>
          <w:sz w:val="28"/>
          <w:szCs w:val="28"/>
          <w:lang w:val="it-IT"/>
        </w:rPr>
        <w:t xml:space="preserve"> alla quale i credenti si rivolgono per sapere come comportarsi nella vita quotidiana. È qui che la gerarchia cambia natura e che dall’erudizione passa alla leadership religiosa.</w:t>
      </w:r>
    </w:p>
    <w:p>
      <w:pPr>
        <w:pStyle w:val="Normal"/>
        <w:bidi w:val="0"/>
        <w:jc w:val="both"/>
        <w:rPr>
          <w:rFonts w:ascii="Garamond" w:hAnsi="Garamond"/>
          <w:b/>
          <w:b/>
          <w:bCs/>
        </w:rPr>
      </w:pPr>
      <w:r>
        <w:rPr>
          <w:rFonts w:ascii="Garamond" w:hAnsi="Garamond"/>
          <w:b/>
          <w:bCs/>
        </w:rPr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La distinzione tra ayatollah e grand ayatollah non è solo quantitativa, ma anche qualitativa. Si tratta di una differenza sostanziale. L’ayatollah è giurista qualificato, interprete del diritto islamico e un maestro riconosciuto. Il grand ayatollah è invece un </w:t>
      </w:r>
      <w:r>
        <w:rPr>
          <w:rFonts w:ascii="Times New Roman" w:hAnsi="Times New Roman"/>
          <w:i/>
          <w:iCs/>
          <w:sz w:val="28"/>
          <w:szCs w:val="28"/>
          <w:lang w:val="it-IT"/>
        </w:rPr>
        <w:t>marja</w:t>
      </w:r>
      <w:r>
        <w:rPr>
          <w:rFonts w:cs="Times New Roman" w:ascii="Times New Roman" w:hAnsi="Times New Roman"/>
          <w:i/>
          <w:iCs/>
          <w:sz w:val="28"/>
          <w:szCs w:val="28"/>
          <w:lang w:val="it-IT"/>
        </w:rPr>
        <w:t>ʿ</w:t>
      </w:r>
      <w:r>
        <w:rPr>
          <w:rFonts w:ascii="Times New Roman" w:hAnsi="Times New Roman"/>
          <w:sz w:val="28"/>
          <w:szCs w:val="28"/>
          <w:lang w:val="it-IT"/>
        </w:rPr>
        <w:t xml:space="preserve">, cioè una “fonte di imitazione”, una guida seguita da milioni di fedeli ed un’autorità che produce norme religiose vincolanti per chi lo segue. In sintesi: </w:t>
      </w:r>
      <w:r>
        <w:rPr>
          <w:rFonts w:ascii="Times New Roman" w:hAnsi="Times New Roman"/>
          <w:b w:val="false"/>
          <w:bCs w:val="false"/>
          <w:sz w:val="28"/>
          <w:szCs w:val="28"/>
          <w:lang w:val="it-IT"/>
        </w:rPr>
        <w:t>l’ayatollah rappresenta il sapere religioso il grand ayatollah rappresenta l’autorità religiosa riconosciuta e seguita dall’intera comunità.</w:t>
      </w:r>
    </w:p>
    <w:p>
      <w:pPr>
        <w:pStyle w:val="Normal"/>
        <w:bidi w:val="0"/>
        <w:jc w:val="left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Times New Roman" w:hAnsi="Times New Roman"/>
          <w:sz w:val="28"/>
          <w:szCs w:val="28"/>
          <w:lang w:val="it-IT"/>
        </w:rPr>
        <w:t>Uno degli elementi più fraintesi è che questa gerarchia non funziona come un sistema burocratico o accademico occidentale. Non esiste un concorso con esame finale per diventare ayatollah o grand ayatollah. Il sistema è basato su tre elementi: competenza scientifica riconosciuta, consenso tra pari, accettazione da parte della comunità dei fedeli.</w:t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Times New Roman" w:hAnsi="Times New Roman"/>
          <w:sz w:val="28"/>
          <w:szCs w:val="28"/>
          <w:lang w:val="it-IT"/>
        </w:rPr>
        <w:t>Come sottolineano gli studi sulla struttura sciita contemporanea, il titolo di grand ayatollah è quindi il risultato di un processo di riconoscimento collettivo più che di una nomina ufficiale. È un sistema in cui il sapere non basta: deve essere riconosciuto.</w:t>
      </w:r>
    </w:p>
    <w:p>
      <w:pPr>
        <w:pStyle w:val="Normal"/>
        <w:bidi w:val="0"/>
        <w:jc w:val="both"/>
        <w:rPr>
          <w:rFonts w:ascii="Garamond" w:hAnsi="Garamond"/>
          <w:b/>
          <w:b/>
          <w:bCs/>
        </w:rPr>
      </w:pPr>
      <w:r>
        <w:rPr>
          <w:rFonts w:ascii="Garamond" w:hAnsi="Garamond"/>
          <w:b/>
          <w:bCs/>
        </w:rPr>
      </w:r>
    </w:p>
    <w:p>
      <w:pPr>
        <w:pStyle w:val="Normal"/>
        <w:bidi w:val="0"/>
        <w:jc w:val="both"/>
        <w:rPr>
          <w:rFonts w:ascii="Garamond" w:hAnsi="Garamond"/>
          <w:b/>
          <w:b/>
          <w:bCs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it-IT"/>
        </w:rPr>
        <w:t xml:space="preserve">Resta il fattore della dimensione politica, ossia di quando il sapere diventa potere. </w:t>
      </w:r>
      <w:r>
        <w:rPr>
          <w:rFonts w:ascii="Times New Roman" w:hAnsi="Times New Roman"/>
          <w:sz w:val="28"/>
          <w:szCs w:val="28"/>
          <w:lang w:val="it-IT"/>
        </w:rPr>
        <w:t xml:space="preserve">Nella teoria sciita classica, il ruolo del religioso è distinto da quello del governante. Ma nella pratica contemporanea, soprattutto in Iran e in parte in Iraq e Libano, questa distinzione si è progressivamente intrecciata con la dimensione politica. Il grand ayatollah non è soltanto una guida spirituale, è anche un attore pubblico, capace di influenzare scelte politiche, sociali e istituzionali. L’ayatollah, invece, può restare una figura prevalentemente accademica o locale. La differenza, quindi, non è solo religiosa: è anche </w:t>
      </w:r>
      <w:r>
        <w:rPr>
          <w:rFonts w:ascii="Times New Roman" w:hAnsi="Times New Roman"/>
          <w:b w:val="false"/>
          <w:bCs w:val="false"/>
          <w:sz w:val="28"/>
          <w:szCs w:val="28"/>
          <w:lang w:val="it-IT"/>
        </w:rPr>
        <w:t>di impatto sociale e politico.</w:t>
      </w:r>
    </w:p>
    <w:p>
      <w:pPr>
        <w:pStyle w:val="Normal"/>
        <w:bidi w:val="0"/>
        <w:jc w:val="both"/>
        <w:rPr>
          <w:rFonts w:ascii="Garamond" w:hAnsi="Garamond"/>
          <w:b/>
          <w:b/>
          <w:bCs/>
        </w:rPr>
      </w:pPr>
      <w:r>
        <w:rPr>
          <w:rFonts w:ascii="Garamond" w:hAnsi="Garamond"/>
          <w:b/>
          <w:bCs/>
        </w:rPr>
      </w:r>
    </w:p>
    <w:p>
      <w:pPr>
        <w:pStyle w:val="Normal"/>
        <w:bidi w:val="0"/>
        <w:jc w:val="both"/>
        <w:rPr>
          <w:rFonts w:ascii="Garamond" w:hAnsi="Garamond"/>
          <w:b/>
          <w:b/>
          <w:bCs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it-IT"/>
        </w:rPr>
        <w:t>In conclusione, si hanno due livelli della stessa autorità:</w:t>
      </w:r>
      <w:r>
        <w:rPr>
          <w:rFonts w:ascii="Times New Roman" w:hAnsi="Times New Roman"/>
          <w:b/>
          <w:bCs/>
          <w:sz w:val="28"/>
          <w:szCs w:val="28"/>
          <w:lang w:val="it-IT"/>
        </w:rPr>
        <w:t xml:space="preserve"> l</w:t>
      </w:r>
      <w:r>
        <w:rPr>
          <w:rFonts w:ascii="Times New Roman" w:hAnsi="Times New Roman"/>
          <w:sz w:val="28"/>
          <w:szCs w:val="28"/>
          <w:lang w:val="it-IT"/>
        </w:rPr>
        <w:t>a distinzione tra ayatollah e grand ayatollah non è solo una scala di prestigio lineare, ma include anche la separazione tra due mondi: il mondo della formazione e dell’interpretazione e il mondo della guida e dell’emulazione. Il primo produce conoscenza, il secondo orientamento. E’ in questa transizione — lenta, incerta, profondamente umana — che si gioca una delle caratteristiche più peculiari dello sciismo contemporaneo: l’idea che l’autorità religiosa non sia imposta dall’alto, ma costruita nel tempo, attraverso studio, riconoscimento e fiducia.</w:t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Normal"/>
        <w:bidi w:val="0"/>
        <w:jc w:val="both"/>
        <w:rPr>
          <w:rFonts w:ascii="Garamond" w:hAnsi="Garamond"/>
        </w:rPr>
      </w:pPr>
      <w:r>
        <w:rPr>
          <w:rFonts w:ascii="Times New Roman" w:hAnsi="Times New Roman"/>
          <w:sz w:val="28"/>
          <w:szCs w:val="28"/>
          <w:lang w:val="it-IT"/>
        </w:rPr>
        <w:t>In ultima analisi, la differenza tra ayatollah e grand ayatollah è tutta qui: non tanto nel sapere in sé, ma nel fatto che quell’esperienza e sapere vengano scelti come guida.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Garamond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E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</TotalTime>
  <Application>LibreOffice/7.0.4.2$MacOSX_X86_64 LibreOffice_project/dcf040e67528d9187c66b2379df5ea4407429775</Application>
  <AppVersion>15.0000</AppVersion>
  <Pages>3</Pages>
  <Words>1187</Words>
  <Characters>6825</Characters>
  <CharactersWithSpaces>7999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2026-04-17T15:56:11Z</dcterms:created>
  <dc:creator/>
  <dc:description/>
  <dc:language>es-ES</dc:language>
  <cp:lastModifiedBy/>
  <dcterms:modified xsi:type="dcterms:W3CDTF">2026-04-17T17:41:34Z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